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AM000-Asia-Japan-Edo-Two Cranes-Black Pine-Bamboo-Turtle-1600-1868</w:t>
      </w:r>
    </w:p>
    <w:p>
      <w:pPr>
        <w:pStyle w:val="Normal"/>
        <w:rPr/>
      </w:pPr>
      <w:r>
        <w:rPr/>
        <w:drawing>
          <wp:inline distT="0" distB="0" distL="0" distR="0">
            <wp:extent cx="6030595" cy="591947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467475" cy="642937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7" t="-7" r="-7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84825" cy="417385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9425" cy="417195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6250" cy="4140200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StrongEmphasis"/>
        </w:rPr>
        <w:t>Case No.: Mirrors</w:t>
      </w:r>
    </w:p>
    <w:p>
      <w:pPr>
        <w:pStyle w:val="Normal"/>
        <w:rPr/>
      </w:pPr>
      <w:r>
        <w:rPr>
          <w:rStyle w:val="StrongEmphasis"/>
        </w:rPr>
        <w:t xml:space="preserve">Accession Number: </w:t>
      </w:r>
    </w:p>
    <w:p>
      <w:pPr>
        <w:pStyle w:val="Normal"/>
        <w:rPr>
          <w:rStyle w:val="StrongEmphasis"/>
          <w:b w:val="false"/>
          <w:b w:val="false"/>
          <w:bCs w:val="false"/>
        </w:rPr>
      </w:pPr>
      <w:r>
        <w:rPr>
          <w:rStyle w:val="StrongEmphasis"/>
        </w:rPr>
        <w:t xml:space="preserve">Formal Label: </w:t>
      </w:r>
      <w:r>
        <w:rPr/>
        <w:t>Asia-Japan-Edo-Two Cranes-Black Pine-Bamboo-Turtle-1600-1868</w:t>
      </w:r>
    </w:p>
    <w:p>
      <w:pPr>
        <w:pStyle w:val="Normal"/>
        <w:rPr/>
      </w:pPr>
      <w:r>
        <w:rPr>
          <w:b/>
        </w:rPr>
        <w:t>Display Description:</w:t>
      </w:r>
    </w:p>
    <w:p>
      <w:pPr>
        <w:pStyle w:val="Normal"/>
        <w:ind w:firstLine="720"/>
        <w:rPr/>
      </w:pPr>
      <w:r>
        <w:rPr/>
        <w:t xml:space="preserve">This is an exquisite mid-nineteenth century Japanese Edo Period (1600-1868) bronze mirror in excellent condition and shows two cranes and turtle symbolizing a successful and happy union of two people and their progeny. </w:t>
      </w:r>
    </w:p>
    <w:p>
      <w:pPr>
        <w:pStyle w:val="Normal"/>
        <w:ind w:firstLine="720"/>
        <w:rPr/>
      </w:pPr>
      <w:r>
        <w:rPr/>
        <w:t>Bronze mirrors were introduced into Japan from China and Korea during the Yayoi period (300 BCE – 300 CE). At first they had a religious function and were regarded as symbols of authority. The Japanese soon learned to make their own mirrors using the lost-wax technique, decorating them with Chinese or native Japanese designs.</w:t>
      </w:r>
    </w:p>
    <w:p>
      <w:pPr>
        <w:pStyle w:val="Normal"/>
        <w:ind w:firstLine="720"/>
        <w:rPr/>
      </w:pPr>
      <w:r>
        <w:rPr/>
        <w:t>By the Nara period (710 -794 CE) mirrors were being made for everyday use, with the increasing use of Japanese designs, such as native plants and animals symbolizing good fortune. From the Kamakura period (1185-1333 CE) a design showing Hôraizan (the Chinese 'Island of Immortality') became popular.</w:t>
      </w:r>
    </w:p>
    <w:p>
      <w:pPr>
        <w:pStyle w:val="Normal"/>
        <w:ind w:firstLine="720"/>
        <w:rPr/>
      </w:pPr>
      <w:r>
        <w:rPr/>
        <w:t>Mirrors gradually became more robust. They mostly have a central boss, often in the shape of a tortoise, which was pierced and a cord passed through for holding. More new designs and the first handled mirrors appeared in the Muromachi period (1333-1568).</w:t>
      </w:r>
    </w:p>
    <w:p>
      <w:pPr>
        <w:pStyle w:val="Normal"/>
        <w:ind w:firstLine="720"/>
        <w:rPr/>
      </w:pPr>
      <w:r>
        <w:rPr/>
        <w:t xml:space="preserve">During the Edo period (1600-1868), mirrors decorated with auspicious symbols such as two cranes and a pine tree together with Chinese characters and were given at weddings as a symbol and an augury for a successful and happy union of two people. </w:t>
      </w:r>
    </w:p>
    <w:p>
      <w:pPr>
        <w:pStyle w:val="Normal"/>
        <w:ind w:firstLine="720"/>
        <w:rPr>
          <w:rStyle w:val="StrongEmphasis"/>
          <w:b w:val="false"/>
          <w:b w:val="false"/>
          <w:bCs w:val="false"/>
        </w:rPr>
      </w:pPr>
      <w:r>
        <w:rPr/>
        <w:t>The Japanese black pine kuromatsu (</w:t>
      </w:r>
      <w:r>
        <w:rPr>
          <w:rFonts w:ascii="MS Mincho;ＭＳ 明朝" w:hAnsi="MS Mincho;ＭＳ 明朝" w:cs="MS Mincho;ＭＳ 明朝" w:eastAsia="MS Mincho;ＭＳ 明朝"/>
        </w:rPr>
        <w:t>黒松</w:t>
      </w:r>
      <w:r>
        <w:rPr/>
        <w:t>) or matsu (</w:t>
      </w:r>
      <w:r>
        <w:rPr>
          <w:rFonts w:eastAsia="MS Gothic;ＭＳ ゴシック"/>
        </w:rPr>
        <w:t>松の木</w:t>
      </w:r>
      <w:r>
        <w:rPr/>
        <w:t>), Pinus thunbergii (syn: Pinus thunbergiana) is native to coastal Kyūshū, Shikoku and Honshū and shares the same felicitous meanings as Chinese and Korean pine trees -- longevity, virtue, and youth. The pine tree is also associated with masculinity and power. "Matsu" in Japanese means "waiting for the soul of a god to descend from Heaven". In ancient Shinto beliefs, gods were said to have ascended to Heaven on a pine tree, where they now reside on a beautiful volcanic mountain in giant or old trees. Pine trees are associated with the New Year in Japan. So much so that many Japanese hang a bundle of pine twigs and bamboo trunks known as a </w:t>
      </w:r>
      <w:r>
        <w:rPr>
          <w:i/>
        </w:rPr>
        <w:t>Kado matsu</w:t>
      </w:r>
      <w:r>
        <w:rPr/>
        <w:t> on their doors to receive a blessing from the gods.</w:t>
      </w:r>
    </w:p>
    <w:p>
      <w:pPr>
        <w:pStyle w:val="Normal"/>
        <w:rPr/>
      </w:pPr>
      <w:r>
        <w:rPr>
          <w:rStyle w:val="StrongEmphasis"/>
        </w:rPr>
        <w:t>LC Classification: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Date or Time Horizon:</w:t>
      </w:r>
      <w:r>
        <w:rPr/>
        <w:t xml:space="preserve"> Edo period (1600-1868)</w:t>
      </w:r>
    </w:p>
    <w:p>
      <w:pPr>
        <w:pStyle w:val="Normal"/>
        <w:rPr/>
      </w:pPr>
      <w:r>
        <w:rPr>
          <w:rStyle w:val="StrongEmphasis"/>
        </w:rPr>
        <w:t>Geographical Area: Japan</w:t>
      </w:r>
    </w:p>
    <w:p>
      <w:pPr>
        <w:pStyle w:val="Normal"/>
        <w:rPr/>
      </w:pPr>
      <w:r>
        <w:rPr>
          <w:rStyle w:val="StrongEmphasis"/>
        </w:rPr>
        <w:t xml:space="preserve">Map: </w:t>
      </w:r>
    </w:p>
    <w:p>
      <w:pPr>
        <w:pStyle w:val="Normal"/>
        <w:rPr>
          <w:color w:val="0000FF"/>
          <w:u w:val="single"/>
        </w:rPr>
      </w:pPr>
      <w:r>
        <w:rPr>
          <w:rStyle w:val="StrongEmphasis"/>
        </w:rPr>
        <w:t>GPS Coordinates: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Cultural Affiliation:</w:t>
      </w:r>
      <w:r>
        <w:rPr/>
        <w:t xml:space="preserve"> The bronze lost-wax casting is of excellent quality with very minute details</w:t>
      </w:r>
    </w:p>
    <w:p>
      <w:pPr>
        <w:pStyle w:val="NormalWeb"/>
        <w:spacing w:before="0" w:after="0"/>
        <w:rPr/>
      </w:pPr>
      <w:r>
        <w:rPr>
          <w:b/>
        </w:rPr>
        <w:t>Dimensions</w:t>
      </w:r>
      <w:r>
        <w:rPr/>
        <w:t>: It measures 112 mm in diameter</w:t>
      </w:r>
      <w:r>
        <w:rPr>
          <w:rStyle w:val="StrongEmphasis"/>
        </w:rPr>
        <w:t xml:space="preserve"> </w:t>
      </w:r>
      <w:r>
        <w:rPr/>
        <w:br/>
      </w:r>
      <w:r>
        <w:rPr>
          <w:b/>
        </w:rPr>
        <w:t xml:space="preserve">Weight: </w:t>
      </w:r>
      <w:r>
        <w:rPr/>
        <w:t>329 gm.</w:t>
      </w:r>
    </w:p>
    <w:p>
      <w:pPr>
        <w:pStyle w:val="Normal"/>
        <w:rPr/>
      </w:pPr>
      <w:r>
        <w:rPr>
          <w:b/>
        </w:rPr>
        <w:t>Provenance</w:t>
      </w:r>
      <w:r>
        <w:rPr>
          <w:rStyle w:val="StrongEmphasis"/>
          <w:b w:val="false"/>
        </w:rPr>
        <w:t xml:space="preserve">: </w:t>
      </w:r>
      <w:r>
        <w:rPr/>
        <w:t>A very nice high quality piece most certainly owned by a person of above middle class status. These mirrors were passed down from generation through generation of a family as heirlooms. These were considered a symbol of wealth and prosperity</w:t>
      </w:r>
    </w:p>
    <w:p>
      <w:pPr>
        <w:pStyle w:val="Normal"/>
        <w:rPr>
          <w:b/>
          <w:b/>
        </w:rPr>
      </w:pPr>
      <w:r>
        <w:rPr>
          <w:b/>
        </w:rPr>
        <w:t xml:space="preserve">Condition: original. </w:t>
      </w:r>
      <w:r>
        <w:rPr/>
        <w:t>It has a deep golden bronze patina with only small scratches on the mirror surface. The mirror surface still retains a polished surface.</w:t>
      </w:r>
    </w:p>
    <w:p>
      <w:pPr>
        <w:pStyle w:val="Normal"/>
        <w:rPr>
          <w:b/>
          <w:b/>
        </w:rPr>
      </w:pPr>
      <w:r>
        <w:rPr>
          <w:b/>
        </w:rPr>
        <w:t>Discussion:</w:t>
      </w:r>
    </w:p>
    <w:p>
      <w:pPr>
        <w:pStyle w:val="Normal"/>
        <w:ind w:firstLine="720"/>
        <w:rPr/>
      </w:pPr>
      <w:r>
        <w:rPr/>
        <w:t>Mirrors became larger as hairstyles became more ornate; some mirrors in Kabuki theatre dressing-rooms were up to fifty cm across and were placed on stands. The faces of mirrors were highly polished or burnished, with itinerant tinners and polishers specializing in this work.</w:t>
      </w:r>
    </w:p>
    <w:p>
      <w:pPr>
        <w:pStyle w:val="Normal"/>
        <w:rPr/>
      </w:pPr>
      <w:r>
        <w:rPr/>
        <w:t>Since the mirror, together with the sword and the jewel, were symbols of Imperial power, mirror-makers were deeply revered and often given honorary titles such as Tenka-Ichi ('First under Heaven'). However, this title was often misused and was officially prohibited in 1682.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b/>
          <w:b/>
        </w:rPr>
      </w:pPr>
      <w:r>
        <w:rPr>
          <w:b/>
        </w:rPr>
        <w:t>References:</w:t>
      </w:r>
    </w:p>
    <w:p>
      <w:pPr>
        <w:pStyle w:val="Normal"/>
        <w:rPr/>
      </w:pPr>
      <w:hyperlink r:id="rId7">
        <w:r>
          <w:rPr>
            <w:rStyle w:val="InternetLink"/>
          </w:rPr>
          <w:t>"Pinus thunbergii"</w:t>
        </w:r>
      </w:hyperlink>
      <w:r>
        <w:rPr/>
        <w:t xml:space="preserve">. </w:t>
      </w:r>
      <w:hyperlink r:id="rId8">
        <w:r>
          <w:rPr>
            <w:rStyle w:val="InternetLink"/>
          </w:rPr>
          <w:t>Natural Resources Conservation Service</w:t>
        </w:r>
      </w:hyperlink>
      <w:r>
        <w:rPr/>
        <w:t xml:space="preserve"> PLANTS Database. </w:t>
      </w:r>
      <w:hyperlink r:id="rId9">
        <w:r>
          <w:rPr>
            <w:rStyle w:val="InternetLink"/>
          </w:rPr>
          <w:t>USDA</w:t>
        </w:r>
      </w:hyperlink>
      <w:r>
        <w:rPr/>
        <w:t xml:space="preserve">. Retrieved 31 Dec. 2018. </w:t>
      </w:r>
    </w:p>
    <w:p>
      <w:pPr>
        <w:pStyle w:val="Normal"/>
        <w:rPr/>
      </w:pPr>
      <w:r>
        <w:rPr/>
        <w:t xml:space="preserve">Conifer Specialist Group (1998). </w:t>
      </w:r>
      <w:hyperlink r:id="rId10">
        <w:r>
          <w:rPr>
            <w:rStyle w:val="InternetLink"/>
          </w:rPr>
          <w:t>"Pinus thunbergii"</w:t>
        </w:r>
      </w:hyperlink>
      <w:r>
        <w:rPr/>
        <w:t xml:space="preserve">. </w:t>
      </w:r>
      <w:hyperlink r:id="rId11">
        <w:r>
          <w:rPr>
            <w:rStyle w:val="InternetLink"/>
          </w:rPr>
          <w:t>IUCN Red List of Threatened Species.</w:t>
        </w:r>
      </w:hyperlink>
      <w:r>
        <w:rPr/>
        <w:t xml:space="preserve"> Version 2006. </w:t>
      </w:r>
      <w:hyperlink r:id="rId12">
        <w:r>
          <w:rPr>
            <w:rStyle w:val="InternetLink"/>
          </w:rPr>
          <w:t>International Union for Conservation of Nature</w:t>
        </w:r>
      </w:hyperlink>
      <w:r>
        <w:rPr/>
        <w:t xml:space="preserve">. Retrieved 31 Dec. 2018.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Fu, Liguo; Li, Nan; Elias, Thomas S.; Mill, Robert R. </w:t>
      </w:r>
      <w:hyperlink r:id="rId13">
        <w:r>
          <w:rPr>
            <w:rStyle w:val="InternetLink"/>
          </w:rPr>
          <w:t>"Pinus thunbergii"</w:t>
        </w:r>
      </w:hyperlink>
      <w:r>
        <w:rPr/>
        <w:t xml:space="preserve">. Flora of China. 4. Retrieved 31 Dec. 2018.  – via </w:t>
      </w:r>
      <w:hyperlink r:id="rId14">
        <w:r>
          <w:rPr>
            <w:rStyle w:val="InternetLink"/>
          </w:rPr>
          <w:t>eFloras.org</w:t>
        </w:r>
      </w:hyperlink>
      <w:r>
        <w:rPr/>
        <w:t xml:space="preserve">, </w:t>
      </w:r>
      <w:hyperlink r:id="rId15">
        <w:r>
          <w:rPr>
            <w:rStyle w:val="InternetLink"/>
          </w:rPr>
          <w:t>Missouri Botanical Garden</w:t>
        </w:r>
      </w:hyperlink>
      <w:r>
        <w:rPr/>
        <w:t xml:space="preserve">, St. Louis, MO &amp; </w:t>
      </w:r>
      <w:hyperlink r:id="rId16">
        <w:r>
          <w:rPr>
            <w:rStyle w:val="InternetLink"/>
          </w:rPr>
          <w:t>Harvard University Herbaria</w:t>
        </w:r>
      </w:hyperlink>
      <w:r>
        <w:rPr/>
        <w:t>, Cambridge, MA.</w:t>
      </w:r>
    </w:p>
    <w:p>
      <w:pPr>
        <w:pStyle w:val="Normal"/>
        <w:rPr/>
      </w:pPr>
      <w:r>
        <w:rPr>
          <w:b/>
        </w:rPr>
        <w:t>Appendix:</w:t>
      </w:r>
    </w:p>
    <w:p>
      <w:pPr>
        <w:pStyle w:val="Normal"/>
        <w:rPr>
          <w:b/>
          <w:b/>
        </w:rPr>
      </w:pPr>
      <w:r>
        <w:rPr>
          <w:rStyle w:val="StrongEmphasis"/>
          <w:rFonts w:cs="Arial" w:ascii="Arial" w:hAnsi="Arial"/>
          <w:sz w:val="20"/>
          <w:szCs w:val="20"/>
        </w:rPr>
        <w:t>AP: 600 USD</w:t>
      </w:r>
    </w:p>
    <w:p>
      <w:pPr>
        <w:pStyle w:val="Normal"/>
        <w:rPr>
          <w:rFonts w:ascii="Arial" w:hAnsi="Arial" w:cs="Arial"/>
          <w:b/>
          <w:b/>
          <w:sz w:val="20"/>
          <w:szCs w:val="20"/>
        </w:rPr>
      </w:pPr>
      <w:r>
        <w:rPr>
          <w:rFonts w:cs="Arial" w:ascii="Arial" w:hAnsi="Arial"/>
          <w:b/>
          <w:sz w:val="20"/>
          <w:szCs w:val="20"/>
        </w:rPr>
      </w:r>
    </w:p>
    <w:p>
      <w:pPr>
        <w:pStyle w:val="Normal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52" w:right="1152" w:header="0" w:top="432" w:footer="0" w:bottom="432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MS Mincho">
    <w:altName w:val="ＭＳ 明朝"/>
    <w:charset w:val="80"/>
    <w:family w:val="modern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start"/>
      <w:pPr>
        <w:ind w:start="0" w:hanging="0"/>
      </w:pPr>
    </w:lvl>
    <w:lvl w:ilvl="1">
      <w:start w:val="1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paragraph" w:styleId="Heading1">
    <w:name w:val="Heading 1"/>
    <w:basedOn w:val="Normal"/>
    <w:next w:val="TextBody"/>
    <w:qFormat/>
    <w:pPr>
      <w:numPr>
        <w:ilvl w:val="0"/>
        <w:numId w:val="1"/>
      </w:numPr>
      <w:spacing w:before="280" w:after="280"/>
      <w:outlineLvl w:val="0"/>
    </w:pPr>
    <w:rPr>
      <w:b/>
      <w:bCs/>
      <w:kern w:val="2"/>
      <w:sz w:val="48"/>
      <w:szCs w:val="48"/>
    </w:rPr>
  </w:style>
  <w:style w:type="character" w:styleId="DefaultParagraphFont">
    <w:name w:val="Default Paragraph Font"/>
    <w:qFormat/>
    <w:rPr/>
  </w:style>
  <w:style w:type="character" w:styleId="StrongEmphasis">
    <w:name w:val="Strong Emphasis"/>
    <w:qFormat/>
    <w:rPr>
      <w:b/>
      <w:bCs/>
    </w:rPr>
  </w:style>
  <w:style w:type="character" w:styleId="InternetLink">
    <w:name w:val="Internet Link"/>
    <w:rPr>
      <w:color w:val="0000FF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Web">
    <w:name w:val="Normal (Web)"/>
    <w:basedOn w:val="Normal"/>
    <w:qFormat/>
    <w:pPr>
      <w:spacing w:before="280" w:after="28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s://plants.usda.gov/core/profile?symbol=PITH2" TargetMode="External"/><Relationship Id="rId8" Type="http://schemas.openxmlformats.org/officeDocument/2006/relationships/hyperlink" Target="https://en.wikipedia.org/wiki/Natural_Resources_Conservation_Service" TargetMode="External"/><Relationship Id="rId9" Type="http://schemas.openxmlformats.org/officeDocument/2006/relationships/hyperlink" Target="https://en.wikipedia.org/wiki/United_States_Department_of_Agriculture" TargetMode="External"/><Relationship Id="rId10" Type="http://schemas.openxmlformats.org/officeDocument/2006/relationships/hyperlink" Target="http://oldredlist.iucnredlist.org/details/42423" TargetMode="External"/><Relationship Id="rId11" Type="http://schemas.openxmlformats.org/officeDocument/2006/relationships/hyperlink" Target="https://en.wikipedia.org/wiki/IUCN_Red_List" TargetMode="External"/><Relationship Id="rId12" Type="http://schemas.openxmlformats.org/officeDocument/2006/relationships/hyperlink" Target="https://en.wikipedia.org/wiki/International_Union_for_Conservation_of_Nature" TargetMode="External"/><Relationship Id="rId13" Type="http://schemas.openxmlformats.org/officeDocument/2006/relationships/hyperlink" Target="http://www.efloras.org/florataxon.aspx?flora_id=2&amp;taxon_id=200005368" TargetMode="External"/><Relationship Id="rId14" Type="http://schemas.openxmlformats.org/officeDocument/2006/relationships/hyperlink" Target="https://efloras.org/" TargetMode="External"/><Relationship Id="rId15" Type="http://schemas.openxmlformats.org/officeDocument/2006/relationships/hyperlink" Target="https://en.wikipedia.org/wiki/Missouri_Botanical_Garden" TargetMode="External"/><Relationship Id="rId16" Type="http://schemas.openxmlformats.org/officeDocument/2006/relationships/hyperlink" Target="https://en.wikipedia.org/wiki/Harvard_University_Herbaria" TargetMode="Externa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2018-12-29T03:22:00Z</dcterms:created>
  <dc:creator>USER</dc:creator>
  <dc:description/>
  <cp:keywords/>
  <dc:language>en-US</dc:language>
  <cp:lastModifiedBy>Coffman</cp:lastModifiedBy>
  <dcterms:modified xsi:type="dcterms:W3CDTF">2018-12-29T03:27:00Z</dcterms:modified>
  <cp:revision>3</cp:revision>
  <dc:subject/>
  <dc:title>~Asia-Japan-Mirror-Edo-Cranes and Turtle</dc:title>
</cp:coreProperties>
</file>